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838200" cy="723900"/>
            <wp:effectExtent l="19050" t="0" r="0" b="0"/>
            <wp:wrapNone/>
            <wp:docPr id="3" name="图片 3" descr="凯迪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凯迪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sz w:val="44"/>
          <w:szCs w:val="44"/>
        </w:rPr>
        <w:t>凯迪生态环境科技股份有限公司</w:t>
      </w: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2018年校园招聘简章</w:t>
      </w:r>
    </w:p>
    <w:p>
      <w:pPr>
        <w:spacing w:line="360" w:lineRule="auto"/>
        <w:rPr>
          <w:rFonts w:ascii="黑体" w:hAnsi="黑体" w:eastAsia="黑体"/>
          <w:b/>
          <w:sz w:val="44"/>
          <w:szCs w:val="44"/>
        </w:rPr>
      </w:pPr>
    </w:p>
    <w:p>
      <w:pPr>
        <w:widowControl/>
        <w:spacing w:line="360" w:lineRule="auto"/>
        <w:ind w:firstLine="472" w:firstLineChars="196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一、公司概况</w:t>
      </w:r>
    </w:p>
    <w:p>
      <w:pPr>
        <w:widowControl/>
        <w:spacing w:line="360" w:lineRule="auto"/>
        <w:ind w:firstLine="480" w:firstLineChars="200"/>
        <w:jc w:val="left"/>
        <w:rPr>
          <w:rFonts w:cs="Arial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凯迪生态环境科技股份有限公司（</w:t>
      </w:r>
      <w:r>
        <w:rPr>
          <w:rFonts w:asciiTheme="minorEastAsia" w:hAnsiTheme="minorEastAsia"/>
          <w:sz w:val="24"/>
          <w:szCs w:val="24"/>
        </w:rPr>
        <w:t>2015年9月</w:t>
      </w:r>
      <w:r>
        <w:rPr>
          <w:rFonts w:hint="eastAsia" w:asciiTheme="minorEastAsia" w:hAnsiTheme="minorEastAsia"/>
          <w:sz w:val="24"/>
          <w:szCs w:val="24"/>
        </w:rPr>
        <w:t>由</w:t>
      </w:r>
      <w:r>
        <w:rPr>
          <w:rFonts w:asciiTheme="minorEastAsia" w:hAnsiTheme="minorEastAsia"/>
          <w:sz w:val="24"/>
          <w:szCs w:val="24"/>
        </w:rPr>
        <w:t>武汉凯迪电力股份有限公司</w:t>
      </w:r>
      <w:r>
        <w:rPr>
          <w:rFonts w:hint="eastAsia" w:asciiTheme="minorEastAsia" w:hAnsiTheme="minorEastAsia"/>
          <w:sz w:val="24"/>
          <w:szCs w:val="24"/>
        </w:rPr>
        <w:t>更名）是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一家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从事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新能源高科技的上市企业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公司目前是全国生物质电厂布局最广、项目建设点最多的企业，也是产业链最完整，拥有千万亩林地资源支撑的上市公司（股票代码：000939）。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凯迪生态依托阳光凯迪集团的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生物质热化学技术国家重点实验室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、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国家企业技术中心和博士后科研工作站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为技术研发平台。依托阳光凯迪集团拥有的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环境工程设计、咨询、营运和电力工程（火力发电厂）设计四种甲级资质</w:t>
      </w:r>
      <w:r>
        <w:rPr>
          <w:rFonts w:hint="eastAsia" w:cs="Arial" w:asciiTheme="minorEastAsia" w:hAnsiTheme="minorEastAsia"/>
          <w:color w:val="000000"/>
          <w:kern w:val="0"/>
          <w:sz w:val="24"/>
          <w:szCs w:val="24"/>
        </w:rPr>
        <w:t>为项目建设平台，开展全产业链的生物质新能源投资、建设、运营</w:t>
      </w:r>
      <w:r>
        <w:rPr>
          <w:rFonts w:cs="Arial" w:asciiTheme="minorEastAsia" w:hAnsiTheme="minorEastAsia"/>
          <w:color w:val="000000"/>
          <w:kern w:val="0"/>
          <w:sz w:val="24"/>
          <w:szCs w:val="24"/>
        </w:rPr>
        <w:t>。</w:t>
      </w:r>
    </w:p>
    <w:p>
      <w:pPr>
        <w:widowControl/>
        <w:spacing w:line="360" w:lineRule="auto"/>
        <w:ind w:firstLine="472" w:firstLineChars="196"/>
        <w:jc w:val="left"/>
        <w:rPr>
          <w:rFonts w:cs="Arial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/>
          <w:b/>
          <w:color w:val="000000"/>
          <w:kern w:val="0"/>
          <w:sz w:val="24"/>
          <w:szCs w:val="24"/>
        </w:rPr>
        <w:t>二、主营业务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目前主要以生物质发电、生物质制油业务为主，并涵盖能源林基地、大气污染治理、能源工程EPC、城市固废处理等业务。未来，上市公司将以“生物质能”为核心，兼顾发展“风力发电”、“水力发电”、“页岩气”及“煤制天然气”，形成五大清洁能源业务板块，重点打造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hint="eastAsia" w:asciiTheme="minorEastAsia" w:hAnsiTheme="minorEastAsia"/>
          <w:sz w:val="24"/>
          <w:szCs w:val="24"/>
        </w:rPr>
        <w:t>智慧电厂</w:t>
      </w:r>
      <w:r>
        <w:rPr>
          <w:rFonts w:asciiTheme="minorEastAsia" w:hAnsiTheme="minorEastAsia"/>
          <w:sz w:val="24"/>
          <w:szCs w:val="24"/>
        </w:rPr>
        <w:t>”</w:t>
      </w:r>
      <w:r>
        <w:rPr>
          <w:rFonts w:hint="eastAsia" w:asciiTheme="minorEastAsia" w:hAnsiTheme="minorEastAsia"/>
          <w:sz w:val="24"/>
          <w:szCs w:val="24"/>
        </w:rPr>
        <w:t>,致力成为行业领先的清洁能源平台。</w:t>
      </w:r>
    </w:p>
    <w:p>
      <w:pPr>
        <w:tabs>
          <w:tab w:val="left" w:pos="2546"/>
        </w:tabs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三、核心竞争力</w:t>
      </w:r>
    </w:p>
    <w:p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1、主营业务生物质电厂介绍</w:t>
      </w:r>
    </w:p>
    <w:p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将自主研发的循环流化床锅炉燃烧技术成功转化为商业化应用，采用农林业废弃物等生物质燃料进行直燃发电,中温次高压循环流化床锅炉直燃发电技术。其中：第三代技术（世界领先）高温超高压循环流化床锅炉直燃发电技术，第四代技术商业化试验中亚临界循环流化床锅炉直燃发电技术；第五代技术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处于研发阶段生物质整体气化联合循环发电(BIGCC)技术。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310" cy="3084830"/>
            <wp:effectExtent l="19050" t="0" r="2540" b="0"/>
            <wp:docPr id="1" name="图片 1" descr="C:\Users\ADMINI~1\AppData\Local\Temp\WeChat Files\744809063496286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744809063496286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1770" cy="2597785"/>
            <wp:effectExtent l="19050" t="0" r="4513" b="0"/>
            <wp:docPr id="4" name="图片 2" descr="C:\Users\ADMINI~1\AppData\Local\Temp\WeChat Files\3468709843679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I~1\AppData\Local\Temp\WeChat Files\34687098436794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5274945" cy="2575560"/>
            <wp:effectExtent l="19050" t="0" r="1611" b="0"/>
            <wp:docPr id="7" name="图片 4" descr="C:\Users\ADMINI~1\AppData\Local\Temp\WeChat Files\712986453823596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C:\Users\ADMINI~1\AppData\Local\Temp\WeChat Files\712986453823596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发改委2010年8月颁布的《国家发展改革委关于生物质发电项目建设管理的通知》，生物质发电厂应布置在粮食主产区秸秆丰富的地区，且每个县或100千米半径范围内不得重复布置生物质发电厂；一般安装2台机组，装机容量不超过3万千瓦。</w:t>
      </w:r>
    </w:p>
    <w:p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历时多年对全国范围内生物质资源调查、项目选址进行详细勘察，通过走访、考察多达1,500余个县、乡镇，最终确定，均经过严格筛选，布局在生物燃料丰富的区域。此外，根据阳光凯迪与各未建项目所在地市（县）人民政府签订的《合作框架协议书》，鉴于生物质资源的有限性，在当地政府辖区范围内，不再批准其他第三方发展以生物质能源为原料或燃料生产、加工产品的项目及企业，从而确保了未建项目资源排他性的战略地位。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2、燃料收购网络体系优势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为确保电厂正常生产，保障充足的燃料供应量，提出了“去中间商，走村级收购模式直购”的新思路。公司按“四个依靠”即依靠政府提高量，依靠模式提高质，依靠流程化、标准化、机械化和信息化降低成本，依靠企业文化提高执行力的燃料收购指导方针，建立了“村级收购”为主、“大客户”收购为辅的燃料收购网络保障体系。除实现燃料收购的网络化覆盖外，在燃料收购上，我们实行了全面的网络化调度，确保了燃料收购成本最低化、效率最高化。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3、丰富的林地资源为生物质能源产业提供强大的资源保障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农业生物质资源（农作物秸杆、稻壳等废弃物）具有较明显的季节性特征，而结合充分发掘林业生物质资源，能够为生物质燃料资源提供更加充分的保障。截至2014年12月31日，现有的林业生物质资源存量超过3,434.4万吨，活立木蓄积达2,313.4万立方米。上述林地仅在自然生长状态下，即可每年新增加林业生物量300万吨左右，相当于拥有一座现有库存量已达3,000万吨以上且每年仍将保持自然增长的巨型原料仓库。因此，通过对林业资源的开发利用，可为生物质能产业提供强大的资源保障，为生物质能项目的原料供应找到最根本、最革命性的出路。公司资产重组注入上市公司的林业生物量，仅目前存量就可供应约100余家生物质电厂一年的全部燃料需求。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4、技术优势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公司生物发电项目，大多采用的是高温超高压循环流化床发电技术，在使用同等燃料的情况下，输出的电能更多，度电燃料需求由1.7公斤下降至1.32公斤（热值2,300kcal/ kg），效率提升28.8%，达到国际领先水平，</w:t>
      </w:r>
      <w:r>
        <w:rPr>
          <w:rFonts w:asciiTheme="majorEastAsia" w:hAnsiTheme="majorEastAsia" w:eastAsiaTheme="majorEastAsia"/>
          <w:sz w:val="24"/>
          <w:szCs w:val="24"/>
        </w:rPr>
        <w:t>随着</w:t>
      </w:r>
      <w:r>
        <w:rPr>
          <w:rFonts w:hint="eastAsia" w:asciiTheme="majorEastAsia" w:hAnsiTheme="majorEastAsia" w:eastAsiaTheme="majorEastAsia"/>
          <w:sz w:val="24"/>
          <w:szCs w:val="24"/>
        </w:rPr>
        <w:t>BIGCC和热化学技术在生物电厂的应用，未来生物质电厂转化效率有望达到39%。燃料成本的盈亏平衡点将大大提升。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5、产业链优势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公司的生物发电业务，从项目开发、建设，电厂运营，原材料供应等各个业务环节，都形成了成熟的运行系统，各系统在公司的管理体系内相互衔接，协同运行，使公司在生物发电领域保持了稳定而强大的发展优势。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6、市场领先优势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公司是生物发电行业的领先公司，在同行业上市公司中居首位，行业领先地位有助于公司在项目开发、设备采购、燃料资源开发、人才招聘等方面可以获得较为优惠的条件。</w:t>
      </w:r>
    </w:p>
    <w:p>
      <w:pPr>
        <w:spacing w:line="360" w:lineRule="auto"/>
        <w:ind w:firstLine="420"/>
        <w:rPr>
          <w:rFonts w:ascii="宋体" w:hAnsi="宋体" w:cs="Arial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b/>
          <w:color w:val="000000"/>
          <w:kern w:val="0"/>
          <w:sz w:val="28"/>
          <w:szCs w:val="28"/>
        </w:rPr>
        <w:t>五、产业布局（智慧电厂）</w:t>
      </w:r>
    </w:p>
    <w:p>
      <w:pPr>
        <w:spacing w:line="360" w:lineRule="auto"/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截止2017年6月底,公司发电装机达到169.6万千瓦,其中已投产生物质发电厂42家,已投运生物质机组的总装机容量1242MW。2017年上半年，公司发电量完成年累计27.53亿千瓦时，同比增加6.66%，其中生物质25.79亿千瓦时，同比增加5.57%。目前公司正在全国范围内，开展生物质电厂布局建设。</w:t>
      </w:r>
    </w:p>
    <w:p>
      <w:pPr>
        <w:widowControl/>
        <w:spacing w:line="360" w:lineRule="auto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目前公司通过开展计划检修和技能技改、开展全能值班员培训及考试上岗、合同能源模式等一系列重点工作，机组运行负荷率提升显著。</w:t>
      </w:r>
    </w:p>
    <w:p>
      <w:pPr>
        <w:widowControl/>
        <w:spacing w:line="360" w:lineRule="auto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公司持续推进网络体系建设，总结升华村级点经营模式全面提升燃料保障能力。在此基础上，信息化方面已完成所有生物质电厂SIS系统接入工作，进一步提升系统应用水平和效率；全面启动燃料收购管理系统建设工作，搭建全国性燃料市场资源动态分布地图。</w:t>
      </w:r>
    </w:p>
    <w:p>
      <w:pPr>
        <w:widowControl/>
        <w:spacing w:line="360" w:lineRule="auto"/>
        <w:ind w:firstLine="480" w:firstLineChars="2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未来公司将依据公司已有的SIS系统、DCS系统，仿真系统、中央集控室、办公自动化基础上，充分</w:t>
      </w:r>
      <w:r>
        <w:rPr>
          <w:rFonts w:asciiTheme="minorEastAsia" w:hAnsiTheme="minorEastAsia"/>
          <w:sz w:val="24"/>
          <w:szCs w:val="24"/>
        </w:rPr>
        <w:t>利用互联网、物联网、人工智能、大数据分析、云计算等信息化、虚拟现实等技术，对电厂系统和数据进行深入挖掘，最终达到更安全、更高效、用人更少、更绿色、更盈利的智能化生产运营</w:t>
      </w:r>
      <w:r>
        <w:rPr>
          <w:rFonts w:hint="eastAsia" w:asciiTheme="minorEastAsia" w:hAnsiTheme="minorEastAsia"/>
          <w:sz w:val="24"/>
          <w:szCs w:val="24"/>
        </w:rPr>
        <w:t>，从而实现智慧生物电厂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widowControl/>
        <w:spacing w:line="360" w:lineRule="auto"/>
        <w:ind w:firstLine="410" w:firstLineChars="146"/>
        <w:jc w:val="left"/>
        <w:rPr>
          <w:rFonts w:ascii="宋体" w:hAnsi="宋体" w:cs="Arial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b/>
          <w:color w:val="000000"/>
          <w:kern w:val="0"/>
          <w:sz w:val="28"/>
          <w:szCs w:val="28"/>
        </w:rPr>
        <w:t>六、领导关怀</w:t>
      </w:r>
    </w:p>
    <w:p>
      <w:pPr>
        <w:widowControl/>
        <w:spacing w:line="360" w:lineRule="auto"/>
        <w:ind w:left="142" w:firstLine="56" w:firstLineChars="27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华文细黑" w:hAnsi="华文细黑" w:eastAsia="华文细黑" w:cs="华文细黑"/>
        </w:rPr>
        <w:drawing>
          <wp:inline distT="0" distB="0" distL="0" distR="0">
            <wp:extent cx="4886960" cy="2441575"/>
            <wp:effectExtent l="19050" t="0" r="8363" b="0"/>
            <wp:docPr id="5" name="图片 5" descr="陈义龙董事长向习总书记汇报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陈义龙董事长向习总书记汇报2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704" cy="244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555"/>
        <w:rPr>
          <w:rFonts w:cs="华文细黑" w:asciiTheme="majorEastAsia" w:hAnsiTheme="majorEastAsia" w:eastAsiaTheme="majorEastAsia"/>
          <w:sz w:val="24"/>
        </w:rPr>
      </w:pPr>
      <w:r>
        <w:rPr>
          <w:rFonts w:hint="eastAsia" w:cs="华文细黑" w:asciiTheme="majorEastAsia" w:hAnsiTheme="majorEastAsia" w:eastAsiaTheme="majorEastAsia"/>
          <w:sz w:val="24"/>
        </w:rPr>
        <w:t>2013年7月21日下午，习主席在考察阳光凯迪非粮生物质燃油技术创新成果时，阳光凯迪新能源集团董事长陈义龙先生亲自讲解。</w:t>
      </w:r>
    </w:p>
    <w:p>
      <w:pPr>
        <w:widowControl/>
        <w:spacing w:line="360" w:lineRule="auto"/>
        <w:ind w:left="283" w:leftChars="135"/>
        <w:jc w:val="left"/>
        <w:rPr>
          <w:rFonts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drawing>
          <wp:inline distT="0" distB="0" distL="0" distR="0">
            <wp:extent cx="4898390" cy="2081530"/>
            <wp:effectExtent l="19050" t="0" r="0" b="0"/>
            <wp:docPr id="8" name="图片 8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7459" cy="208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cs="华文细黑" w:asciiTheme="majorEastAsia" w:hAnsiTheme="majorEastAsia" w:eastAsiaTheme="majorEastAsia"/>
          <w:sz w:val="24"/>
          <w:szCs w:val="24"/>
        </w:rPr>
        <w:t>2011年6月1日，胡主席在考察凯迪重大科技创新成果时，阳光凯迪新能源集团董事长陈义龙先生亲自讲解。</w:t>
      </w:r>
    </w:p>
    <w:p>
      <w:pPr>
        <w:spacing w:line="360" w:lineRule="auto"/>
        <w:ind w:firstLine="472" w:firstLineChars="19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七、招聘专业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tbl>
      <w:tblPr>
        <w:tblStyle w:val="7"/>
        <w:tblW w:w="8527" w:type="dxa"/>
        <w:tblInd w:w="9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126"/>
        <w:gridCol w:w="1902"/>
        <w:gridCol w:w="1080"/>
        <w:gridCol w:w="993"/>
        <w:gridCol w:w="113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ind w:firstLine="211" w:firstLineChars="1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2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智慧电厂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”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相关岗位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21" w:lineRule="atLeast"/>
              <w:jc w:val="center"/>
              <w:rPr>
                <w:rFonts w:cs="Arial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bCs/>
                <w:color w:val="000000" w:themeColor="text1"/>
                <w:szCs w:val="21"/>
              </w:rPr>
              <w:t>动力工程</w:t>
            </w: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Cs w:val="21"/>
              </w:rPr>
              <w:t>领域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Cs w:val="21"/>
              </w:rPr>
              <w:t>热能与动力工程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电厂人工智能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研究生及以上学历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(与导师做过智慧电厂课题优先)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武汉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2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21" w:lineRule="atLeast"/>
              <w:jc w:val="center"/>
              <w:rPr>
                <w:rFonts w:cs="宋体" w:asciiTheme="minorEastAsia" w:hAnsiTheme="min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Cs w:val="21"/>
              </w:rPr>
              <w:t>自动化领域</w:t>
            </w:r>
          </w:p>
        </w:tc>
        <w:tc>
          <w:tcPr>
            <w:tcW w:w="190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cs="Arial" w:asciiTheme="minorEastAsia" w:hAnsiTheme="minorEastAsia"/>
                <w:color w:val="000000" w:themeColor="text1"/>
                <w:szCs w:val="21"/>
              </w:rPr>
              <w:t>自动控制、、检测与自动化仪表</w:t>
            </w:r>
            <w:r>
              <w:rPr>
                <w:rFonts w:hint="eastAsia" w:cs="Arial" w:asciiTheme="minorEastAsia" w:hAnsiTheme="minorEastAsia"/>
                <w:color w:val="000000" w:themeColor="text1"/>
                <w:szCs w:val="21"/>
              </w:rPr>
              <w:t>等</w:t>
            </w: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储备干部</w:t>
            </w:r>
          </w:p>
        </w:tc>
        <w:tc>
          <w:tcPr>
            <w:tcW w:w="402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color w:val="000000" w:themeColor="text1"/>
                <w:kern w:val="0"/>
                <w:szCs w:val="21"/>
              </w:rPr>
              <w:t>热能与动力工程、电气工程及其自动化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本科及以上学历（英语四级及以上）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由公司委派至基层进行锻炼工作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>
      <w:pPr>
        <w:spacing w:line="360" w:lineRule="auto"/>
        <w:ind w:firstLine="551" w:firstLineChars="196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八、</w:t>
      </w:r>
      <w:r>
        <w:rPr>
          <w:rFonts w:ascii="宋体" w:hAnsi="宋体"/>
          <w:b/>
          <w:color w:val="000000"/>
          <w:sz w:val="28"/>
          <w:szCs w:val="28"/>
        </w:rPr>
        <w:t>招聘流程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1、发布招聘信息</w:t>
      </w:r>
      <w:r>
        <w:rPr>
          <w:rFonts w:hint="eastAsia" w:ascii="宋体" w:hAnsi="宋体"/>
          <w:sz w:val="24"/>
          <w:szCs w:val="24"/>
        </w:rPr>
        <w:t>，学生可通过网络将应聘简历投递至公司指定的电子邮箱。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收集应聘简历、组织应聘人员参观公司，开展座谈，介绍公司业务，或与应聘人员一对一面谈交流介绍。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3、应聘资料审核，接到通知的同学携带就业推荐表、成绩单（院校盖章）、奖学金证书、英语证书、身份证、学生证及其他相关资格证书的原件及复印件用于审核。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4、笔试、</w:t>
      </w:r>
      <w:r>
        <w:rPr>
          <w:rFonts w:ascii="宋体" w:hAnsi="宋体"/>
          <w:sz w:val="24"/>
          <w:szCs w:val="24"/>
        </w:rPr>
        <w:t>面试</w:t>
      </w:r>
      <w:r>
        <w:rPr>
          <w:rFonts w:hint="eastAsia"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综合素质测评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拟录用候选人资料审核及录用审批签订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6、签订《签约承诺书》、《</w:t>
      </w:r>
      <w:r>
        <w:rPr>
          <w:rFonts w:ascii="宋体" w:hAnsi="宋体"/>
          <w:sz w:val="24"/>
          <w:szCs w:val="24"/>
        </w:rPr>
        <w:t>就业协议书</w:t>
      </w:r>
      <w:r>
        <w:rPr>
          <w:rFonts w:hint="eastAsia" w:ascii="宋体" w:hAnsi="宋体"/>
          <w:sz w:val="24"/>
          <w:szCs w:val="24"/>
        </w:rPr>
        <w:t>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7、新员工报到通知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</w:t>
      </w:r>
      <w:r>
        <w:rPr>
          <w:rFonts w:ascii="宋体" w:hAnsi="宋体"/>
          <w:sz w:val="24"/>
          <w:szCs w:val="24"/>
        </w:rPr>
        <w:t>、</w:t>
      </w:r>
      <w:r>
        <w:rPr>
          <w:rFonts w:hint="eastAsia" w:ascii="宋体" w:hAnsi="宋体"/>
          <w:sz w:val="24"/>
          <w:szCs w:val="24"/>
        </w:rPr>
        <w:t>新员工</w:t>
      </w:r>
      <w:r>
        <w:rPr>
          <w:rFonts w:ascii="宋体" w:hAnsi="宋体"/>
          <w:sz w:val="24"/>
          <w:szCs w:val="24"/>
        </w:rPr>
        <w:t>报到</w:t>
      </w:r>
      <w:r>
        <w:rPr>
          <w:rFonts w:hint="eastAsia" w:ascii="宋体" w:hAnsi="宋体"/>
          <w:sz w:val="24"/>
          <w:szCs w:val="24"/>
        </w:rPr>
        <w:t>、入职体检、入职手续办理及培训</w:t>
      </w:r>
    </w:p>
    <w:p>
      <w:pPr>
        <w:spacing w:line="360" w:lineRule="auto"/>
        <w:ind w:firstLine="413" w:firstLineChars="147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九、应聘方式</w:t>
      </w:r>
    </w:p>
    <w:p>
      <w:pPr>
        <w:spacing w:beforeLines="50" w:afterLines="50"/>
        <w:ind w:firstLine="360" w:firstLineChars="150"/>
        <w:rPr>
          <w:rFonts w:asciiTheme="majorEastAsia" w:hAnsiTheme="majorEastAsia" w:eastAsiaTheme="majorEastAsia"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请将应聘简历投递至以下电子邮箱：94091542</w:t>
      </w:r>
      <w:r>
        <w:rPr>
          <w:rFonts w:asciiTheme="majorEastAsia" w:hAnsiTheme="majorEastAsia" w:eastAsiaTheme="majorEastAsia"/>
          <w:color w:val="000000" w:themeColor="text1"/>
          <w:sz w:val="24"/>
          <w:szCs w:val="24"/>
        </w:rPr>
        <w:t>@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qq</w:t>
      </w:r>
      <w:r>
        <w:rPr>
          <w:rFonts w:asciiTheme="majorEastAsia" w:hAnsiTheme="majorEastAsia" w:eastAsiaTheme="majorEastAsia"/>
          <w:color w:val="000000" w:themeColor="text1"/>
          <w:sz w:val="24"/>
          <w:szCs w:val="24"/>
        </w:rPr>
        <w:t>.com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。</w:t>
      </w:r>
    </w:p>
    <w:p>
      <w:pPr>
        <w:spacing w:beforeLines="50" w:afterLines="50"/>
        <w:ind w:firstLine="360" w:firstLineChars="150"/>
        <w:rPr>
          <w:rFonts w:asciiTheme="majorEastAsia" w:hAnsiTheme="majorEastAsia" w:eastAsiaTheme="majorEastAsia"/>
          <w:b/>
          <w:color w:val="000000" w:themeColor="text1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校园招聘咨询人：田飞</w:t>
      </w:r>
    </w:p>
    <w:p>
      <w:pPr>
        <w:spacing w:beforeLines="50" w:afterLines="50"/>
        <w:ind w:firstLine="360" w:firstLineChars="150"/>
        <w:rPr>
          <w:rFonts w:asciiTheme="majorEastAsia" w:hAnsiTheme="majorEastAsia" w:eastAsiaTheme="majorEastAsia"/>
          <w:color w:val="000000" w:themeColor="text1"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校园招聘咨询电话：</w:t>
      </w:r>
      <w:r>
        <w:rPr>
          <w:rFonts w:asciiTheme="majorEastAsia" w:hAnsiTheme="majorEastAsia" w:eastAsiaTheme="majorEastAsia"/>
          <w:color w:val="000000" w:themeColor="text1"/>
          <w:sz w:val="24"/>
          <w:szCs w:val="24"/>
          <w:u w:val="single"/>
        </w:rPr>
        <w:t>02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>7</w:t>
      </w:r>
      <w:r>
        <w:rPr>
          <w:rFonts w:asciiTheme="majorEastAsia" w:hAnsiTheme="majorEastAsia" w:eastAsiaTheme="majorEastAsia"/>
          <w:color w:val="000000" w:themeColor="text1"/>
          <w:sz w:val="24"/>
          <w:szCs w:val="24"/>
          <w:u w:val="single"/>
        </w:rPr>
        <w:t>-8799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>2738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</w:rPr>
        <w:t>，手机：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:u w:val="single"/>
        </w:rPr>
        <w:t>15926297996</w:t>
      </w:r>
    </w:p>
    <w:p>
      <w:pPr>
        <w:spacing w:line="360" w:lineRule="auto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更多校园招聘信息及公司最新的业务信息的了解，请登录公司主页：</w:t>
      </w:r>
      <w:r>
        <w:rPr>
          <w:sz w:val="32"/>
          <w:szCs w:val="32"/>
        </w:rPr>
        <w:t>http://www.kaidihi.com/index.html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14"/>
    <w:rsid w:val="00000C2E"/>
    <w:rsid w:val="00001CB7"/>
    <w:rsid w:val="000060D7"/>
    <w:rsid w:val="00010091"/>
    <w:rsid w:val="00026CDA"/>
    <w:rsid w:val="00034053"/>
    <w:rsid w:val="0005413C"/>
    <w:rsid w:val="00057926"/>
    <w:rsid w:val="00063499"/>
    <w:rsid w:val="0007542B"/>
    <w:rsid w:val="00080A8B"/>
    <w:rsid w:val="000879C3"/>
    <w:rsid w:val="0009179A"/>
    <w:rsid w:val="000A6D2A"/>
    <w:rsid w:val="000B27D4"/>
    <w:rsid w:val="000B4D88"/>
    <w:rsid w:val="000C5F87"/>
    <w:rsid w:val="000E5009"/>
    <w:rsid w:val="000F3DE5"/>
    <w:rsid w:val="000F73D9"/>
    <w:rsid w:val="00117A60"/>
    <w:rsid w:val="001329E3"/>
    <w:rsid w:val="00140893"/>
    <w:rsid w:val="00147CE2"/>
    <w:rsid w:val="00164B24"/>
    <w:rsid w:val="0018722E"/>
    <w:rsid w:val="00193B61"/>
    <w:rsid w:val="001A2939"/>
    <w:rsid w:val="001A3328"/>
    <w:rsid w:val="001B1D3D"/>
    <w:rsid w:val="001B53A5"/>
    <w:rsid w:val="001C3C47"/>
    <w:rsid w:val="001D3E82"/>
    <w:rsid w:val="00202D9B"/>
    <w:rsid w:val="00205FEB"/>
    <w:rsid w:val="00214664"/>
    <w:rsid w:val="00222DFE"/>
    <w:rsid w:val="00224AB5"/>
    <w:rsid w:val="00227741"/>
    <w:rsid w:val="00227B0D"/>
    <w:rsid w:val="002305F4"/>
    <w:rsid w:val="00230F7C"/>
    <w:rsid w:val="00237588"/>
    <w:rsid w:val="00246ED0"/>
    <w:rsid w:val="002543EC"/>
    <w:rsid w:val="002707CE"/>
    <w:rsid w:val="002708B3"/>
    <w:rsid w:val="00275359"/>
    <w:rsid w:val="00280DFF"/>
    <w:rsid w:val="00286153"/>
    <w:rsid w:val="002938E2"/>
    <w:rsid w:val="002A3335"/>
    <w:rsid w:val="002A58B1"/>
    <w:rsid w:val="002C3F72"/>
    <w:rsid w:val="002D3610"/>
    <w:rsid w:val="002D4312"/>
    <w:rsid w:val="002D478D"/>
    <w:rsid w:val="002D686A"/>
    <w:rsid w:val="002E211C"/>
    <w:rsid w:val="002F0C70"/>
    <w:rsid w:val="002F1468"/>
    <w:rsid w:val="002F4CAA"/>
    <w:rsid w:val="003055DA"/>
    <w:rsid w:val="00305C3C"/>
    <w:rsid w:val="003069E4"/>
    <w:rsid w:val="003104B3"/>
    <w:rsid w:val="00312716"/>
    <w:rsid w:val="00316517"/>
    <w:rsid w:val="0031797C"/>
    <w:rsid w:val="003262D3"/>
    <w:rsid w:val="00356D2F"/>
    <w:rsid w:val="0036392B"/>
    <w:rsid w:val="00394A9C"/>
    <w:rsid w:val="003A0D77"/>
    <w:rsid w:val="003B6B7D"/>
    <w:rsid w:val="003D4D73"/>
    <w:rsid w:val="003D5CB5"/>
    <w:rsid w:val="003D64B7"/>
    <w:rsid w:val="003F19AF"/>
    <w:rsid w:val="003F4E34"/>
    <w:rsid w:val="003F6AD3"/>
    <w:rsid w:val="00414FFA"/>
    <w:rsid w:val="00420B5D"/>
    <w:rsid w:val="0043120D"/>
    <w:rsid w:val="00432D4F"/>
    <w:rsid w:val="00453181"/>
    <w:rsid w:val="00490042"/>
    <w:rsid w:val="0049016C"/>
    <w:rsid w:val="00490C0C"/>
    <w:rsid w:val="00496BDC"/>
    <w:rsid w:val="004C1272"/>
    <w:rsid w:val="004D03AE"/>
    <w:rsid w:val="004E504F"/>
    <w:rsid w:val="00530569"/>
    <w:rsid w:val="005318EE"/>
    <w:rsid w:val="00535410"/>
    <w:rsid w:val="005414BE"/>
    <w:rsid w:val="0054336C"/>
    <w:rsid w:val="005435D0"/>
    <w:rsid w:val="00564EB9"/>
    <w:rsid w:val="00566359"/>
    <w:rsid w:val="0057074A"/>
    <w:rsid w:val="00571BA7"/>
    <w:rsid w:val="005A0619"/>
    <w:rsid w:val="005A5C10"/>
    <w:rsid w:val="005C3BA4"/>
    <w:rsid w:val="005E0812"/>
    <w:rsid w:val="005F19B0"/>
    <w:rsid w:val="005F2F64"/>
    <w:rsid w:val="005F7D35"/>
    <w:rsid w:val="00606C87"/>
    <w:rsid w:val="006122D6"/>
    <w:rsid w:val="0069782D"/>
    <w:rsid w:val="006A04E9"/>
    <w:rsid w:val="006A1C74"/>
    <w:rsid w:val="006A5501"/>
    <w:rsid w:val="006B30F9"/>
    <w:rsid w:val="006C04C1"/>
    <w:rsid w:val="006D3095"/>
    <w:rsid w:val="006D4868"/>
    <w:rsid w:val="006E7D17"/>
    <w:rsid w:val="00703D4E"/>
    <w:rsid w:val="00705303"/>
    <w:rsid w:val="00712EA8"/>
    <w:rsid w:val="00727203"/>
    <w:rsid w:val="00753BD9"/>
    <w:rsid w:val="00771E30"/>
    <w:rsid w:val="007727AD"/>
    <w:rsid w:val="00773E4F"/>
    <w:rsid w:val="007822F5"/>
    <w:rsid w:val="00783786"/>
    <w:rsid w:val="007A1203"/>
    <w:rsid w:val="007B53B9"/>
    <w:rsid w:val="007C2913"/>
    <w:rsid w:val="007C2F98"/>
    <w:rsid w:val="007D35CD"/>
    <w:rsid w:val="007D423A"/>
    <w:rsid w:val="007D5D2D"/>
    <w:rsid w:val="007D7E1C"/>
    <w:rsid w:val="007E177E"/>
    <w:rsid w:val="00826F13"/>
    <w:rsid w:val="008425CD"/>
    <w:rsid w:val="00854AB3"/>
    <w:rsid w:val="008565D1"/>
    <w:rsid w:val="00856E24"/>
    <w:rsid w:val="008616C9"/>
    <w:rsid w:val="0086564D"/>
    <w:rsid w:val="00871218"/>
    <w:rsid w:val="008766B6"/>
    <w:rsid w:val="0088103C"/>
    <w:rsid w:val="00881C17"/>
    <w:rsid w:val="008A3550"/>
    <w:rsid w:val="008B1432"/>
    <w:rsid w:val="008B26BD"/>
    <w:rsid w:val="008C7C63"/>
    <w:rsid w:val="008D324A"/>
    <w:rsid w:val="008D37D8"/>
    <w:rsid w:val="008E3DBB"/>
    <w:rsid w:val="008F7A9C"/>
    <w:rsid w:val="009046F4"/>
    <w:rsid w:val="0090625C"/>
    <w:rsid w:val="009458BB"/>
    <w:rsid w:val="00947B71"/>
    <w:rsid w:val="00960C7E"/>
    <w:rsid w:val="009700D3"/>
    <w:rsid w:val="009767CD"/>
    <w:rsid w:val="009835EC"/>
    <w:rsid w:val="009860B0"/>
    <w:rsid w:val="00997E1D"/>
    <w:rsid w:val="009A1E16"/>
    <w:rsid w:val="009A4C99"/>
    <w:rsid w:val="009B055F"/>
    <w:rsid w:val="009B1AFE"/>
    <w:rsid w:val="009C0645"/>
    <w:rsid w:val="009C3779"/>
    <w:rsid w:val="009C5881"/>
    <w:rsid w:val="009D07CF"/>
    <w:rsid w:val="009D5472"/>
    <w:rsid w:val="009E120B"/>
    <w:rsid w:val="009E1320"/>
    <w:rsid w:val="00A07BCE"/>
    <w:rsid w:val="00A16895"/>
    <w:rsid w:val="00A471E5"/>
    <w:rsid w:val="00A54933"/>
    <w:rsid w:val="00A76DD8"/>
    <w:rsid w:val="00A77407"/>
    <w:rsid w:val="00A8218C"/>
    <w:rsid w:val="00A85977"/>
    <w:rsid w:val="00AC61E8"/>
    <w:rsid w:val="00AD790E"/>
    <w:rsid w:val="00AE3245"/>
    <w:rsid w:val="00AF0C7A"/>
    <w:rsid w:val="00AF184A"/>
    <w:rsid w:val="00B0747E"/>
    <w:rsid w:val="00B25823"/>
    <w:rsid w:val="00B303EF"/>
    <w:rsid w:val="00B50D8D"/>
    <w:rsid w:val="00B553AF"/>
    <w:rsid w:val="00B57A5A"/>
    <w:rsid w:val="00B678F9"/>
    <w:rsid w:val="00B87C3D"/>
    <w:rsid w:val="00B92DFC"/>
    <w:rsid w:val="00BB3713"/>
    <w:rsid w:val="00BB7303"/>
    <w:rsid w:val="00BD06D9"/>
    <w:rsid w:val="00BD278F"/>
    <w:rsid w:val="00BD3914"/>
    <w:rsid w:val="00BD42C8"/>
    <w:rsid w:val="00BD6341"/>
    <w:rsid w:val="00BD6F49"/>
    <w:rsid w:val="00BE15CA"/>
    <w:rsid w:val="00BE21DB"/>
    <w:rsid w:val="00BF5300"/>
    <w:rsid w:val="00C0487C"/>
    <w:rsid w:val="00C20577"/>
    <w:rsid w:val="00C357E0"/>
    <w:rsid w:val="00C70232"/>
    <w:rsid w:val="00C756C0"/>
    <w:rsid w:val="00C849CF"/>
    <w:rsid w:val="00CA420A"/>
    <w:rsid w:val="00CB64F3"/>
    <w:rsid w:val="00CC6F84"/>
    <w:rsid w:val="00CC7DC0"/>
    <w:rsid w:val="00CD4B52"/>
    <w:rsid w:val="00CD71AE"/>
    <w:rsid w:val="00CE0C7A"/>
    <w:rsid w:val="00D01146"/>
    <w:rsid w:val="00D02784"/>
    <w:rsid w:val="00D04CEF"/>
    <w:rsid w:val="00D04F25"/>
    <w:rsid w:val="00D0600B"/>
    <w:rsid w:val="00D11568"/>
    <w:rsid w:val="00D16DEA"/>
    <w:rsid w:val="00D532E1"/>
    <w:rsid w:val="00D57056"/>
    <w:rsid w:val="00D63DB1"/>
    <w:rsid w:val="00D742C6"/>
    <w:rsid w:val="00D75786"/>
    <w:rsid w:val="00D826CC"/>
    <w:rsid w:val="00D83AF5"/>
    <w:rsid w:val="00D92F9E"/>
    <w:rsid w:val="00DA59E1"/>
    <w:rsid w:val="00DD0F83"/>
    <w:rsid w:val="00DD3792"/>
    <w:rsid w:val="00DD3D4D"/>
    <w:rsid w:val="00DE2E57"/>
    <w:rsid w:val="00DE3881"/>
    <w:rsid w:val="00DF2FA2"/>
    <w:rsid w:val="00E328E6"/>
    <w:rsid w:val="00E40055"/>
    <w:rsid w:val="00E55524"/>
    <w:rsid w:val="00E5704D"/>
    <w:rsid w:val="00E57C65"/>
    <w:rsid w:val="00E606EB"/>
    <w:rsid w:val="00E63F79"/>
    <w:rsid w:val="00E65B91"/>
    <w:rsid w:val="00E75984"/>
    <w:rsid w:val="00E84CFA"/>
    <w:rsid w:val="00E96CE5"/>
    <w:rsid w:val="00E96DD4"/>
    <w:rsid w:val="00EA0324"/>
    <w:rsid w:val="00EB7F68"/>
    <w:rsid w:val="00EC1269"/>
    <w:rsid w:val="00EC56C6"/>
    <w:rsid w:val="00ED5B44"/>
    <w:rsid w:val="00EF5048"/>
    <w:rsid w:val="00F10DCE"/>
    <w:rsid w:val="00F148C8"/>
    <w:rsid w:val="00F21F77"/>
    <w:rsid w:val="00F4467E"/>
    <w:rsid w:val="00F47DDD"/>
    <w:rsid w:val="00F5427A"/>
    <w:rsid w:val="00F554E0"/>
    <w:rsid w:val="00F849C9"/>
    <w:rsid w:val="00F84AD2"/>
    <w:rsid w:val="00F857D2"/>
    <w:rsid w:val="00F87957"/>
    <w:rsid w:val="00F92F4E"/>
    <w:rsid w:val="00F9646A"/>
    <w:rsid w:val="00FA2A61"/>
    <w:rsid w:val="00FA46DD"/>
    <w:rsid w:val="00FA739D"/>
    <w:rsid w:val="00FB2D76"/>
    <w:rsid w:val="00FB4BAA"/>
    <w:rsid w:val="00FD0CAA"/>
    <w:rsid w:val="00FD1DD7"/>
    <w:rsid w:val="00FD291D"/>
    <w:rsid w:val="00FD7E1E"/>
    <w:rsid w:val="00FE225F"/>
    <w:rsid w:val="00FF4D93"/>
    <w:rsid w:val="4A1F65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3029A-A9D9-48C7-9CBC-019FD1A9B8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458</Words>
  <Characters>2612</Characters>
  <Lines>21</Lines>
  <Paragraphs>6</Paragraphs>
  <TotalTime>0</TotalTime>
  <ScaleCrop>false</ScaleCrop>
  <LinksUpToDate>false</LinksUpToDate>
  <CharactersWithSpaces>3064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2015-09-23T01:33:00Z</dcterms:created>
  <dc:creator>dell</dc:creator>
  <cp:lastModifiedBy>茅佩</cp:lastModifiedBy>
  <cp:lastPrinted>2017-11-30T00:51:00Z</cp:lastPrinted>
  <dcterms:modified xsi:type="dcterms:W3CDTF">2018-01-09T10:50:14Z</dcterms:modified>
  <cp:revision>286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